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B1F7C" w14:textId="77777777" w:rsidR="009F34C1" w:rsidRDefault="009F34C1" w:rsidP="009F34C1">
      <w:pPr>
        <w:jc w:val="center"/>
        <w:rPr>
          <w:rFonts w:ascii="Arial" w:hAnsi="Arial"/>
          <w:b/>
          <w:bCs/>
          <w:sz w:val="44"/>
          <w:szCs w:val="44"/>
        </w:rPr>
      </w:pPr>
      <w:r>
        <w:rPr>
          <w:rFonts w:ascii="Arial" w:hAnsi="Arial"/>
          <w:b/>
          <w:bCs/>
          <w:sz w:val="44"/>
          <w:szCs w:val="44"/>
        </w:rPr>
        <w:t>INFORMACJA</w:t>
      </w:r>
    </w:p>
    <w:p w14:paraId="5783A9F1" w14:textId="77777777" w:rsidR="009F34C1" w:rsidRDefault="009F34C1" w:rsidP="009F34C1">
      <w:pPr>
        <w:jc w:val="center"/>
        <w:rPr>
          <w:rFonts w:ascii="Arial" w:hAnsi="Arial"/>
          <w:b/>
          <w:bCs/>
          <w:sz w:val="44"/>
          <w:szCs w:val="44"/>
        </w:rPr>
      </w:pPr>
    </w:p>
    <w:p w14:paraId="711B70D8" w14:textId="4C11EA3C" w:rsidR="009F34C1" w:rsidRDefault="009F34C1" w:rsidP="009F34C1">
      <w:pPr>
        <w:rPr>
          <w:rFonts w:ascii="Arial" w:hAnsi="Arial"/>
          <w:sz w:val="36"/>
          <w:szCs w:val="36"/>
        </w:rPr>
      </w:pPr>
      <w:r>
        <w:rPr>
          <w:rFonts w:ascii="Arial" w:hAnsi="Arial"/>
          <w:sz w:val="36"/>
          <w:szCs w:val="36"/>
        </w:rPr>
        <w:t>Na podstawie pisma Prezesa Sądu Okr</w:t>
      </w:r>
      <w:r>
        <w:rPr>
          <w:rFonts w:ascii="Arial" w:hAnsi="Arial"/>
          <w:sz w:val="36"/>
          <w:szCs w:val="36"/>
        </w:rPr>
        <w:t xml:space="preserve">ęgowego </w:t>
      </w:r>
      <w:r>
        <w:rPr>
          <w:rFonts w:ascii="Arial" w:hAnsi="Arial"/>
          <w:sz w:val="36"/>
          <w:szCs w:val="36"/>
        </w:rPr>
        <w:br/>
        <w:t>w Poznaniu nr A-0131-20/17</w:t>
      </w:r>
      <w:r>
        <w:rPr>
          <w:rFonts w:ascii="Arial" w:hAnsi="Arial"/>
          <w:sz w:val="36"/>
          <w:szCs w:val="36"/>
        </w:rPr>
        <w:t>, Urząd Miasta Luboń informuj</w:t>
      </w:r>
      <w:r>
        <w:rPr>
          <w:rFonts w:ascii="Arial" w:hAnsi="Arial"/>
          <w:sz w:val="36"/>
          <w:szCs w:val="36"/>
        </w:rPr>
        <w:t xml:space="preserve">e, że zgodnie przepisem art. 168 </w:t>
      </w:r>
      <w:r>
        <w:rPr>
          <w:rFonts w:ascii="Arial" w:hAnsi="Arial"/>
          <w:sz w:val="36"/>
          <w:szCs w:val="36"/>
        </w:rPr>
        <w:t xml:space="preserve">ustawy z dnia 27 lipca 2001r. - Prawo o ustroju sądów powszechnych odbędą się wybory </w:t>
      </w:r>
      <w:r>
        <w:rPr>
          <w:rFonts w:ascii="Arial" w:hAnsi="Arial"/>
          <w:sz w:val="36"/>
          <w:szCs w:val="36"/>
        </w:rPr>
        <w:t xml:space="preserve">uzupełniające </w:t>
      </w:r>
      <w:r>
        <w:rPr>
          <w:rFonts w:ascii="Arial" w:hAnsi="Arial"/>
          <w:sz w:val="36"/>
          <w:szCs w:val="36"/>
        </w:rPr>
        <w:t xml:space="preserve">ławników na kadencję 2015-2018. </w:t>
      </w:r>
    </w:p>
    <w:p w14:paraId="44C4F6B2" w14:textId="5A56833A" w:rsidR="009F34C1" w:rsidRDefault="009F34C1" w:rsidP="009F34C1">
      <w:pPr>
        <w:rPr>
          <w:rFonts w:ascii="Arial" w:hAnsi="Arial"/>
          <w:sz w:val="36"/>
          <w:szCs w:val="36"/>
        </w:rPr>
      </w:pPr>
      <w:r>
        <w:rPr>
          <w:rFonts w:ascii="Arial" w:hAnsi="Arial"/>
          <w:sz w:val="36"/>
          <w:szCs w:val="36"/>
        </w:rPr>
        <w:t>Działając na podstawie wyżej wymienionej ustawy Kolegium Sądu Okręgowego w Poz</w:t>
      </w:r>
      <w:r>
        <w:rPr>
          <w:rFonts w:ascii="Arial" w:hAnsi="Arial"/>
          <w:sz w:val="36"/>
          <w:szCs w:val="36"/>
        </w:rPr>
        <w:t xml:space="preserve">naniu ustaliło liczbę ławników  </w:t>
      </w:r>
      <w:r w:rsidR="00A72C6B">
        <w:rPr>
          <w:rFonts w:ascii="Arial" w:hAnsi="Arial"/>
          <w:sz w:val="36"/>
          <w:szCs w:val="36"/>
        </w:rPr>
        <w:t>w ilości 2</w:t>
      </w:r>
      <w:r>
        <w:rPr>
          <w:rFonts w:ascii="Arial" w:hAnsi="Arial"/>
          <w:sz w:val="36"/>
          <w:szCs w:val="36"/>
        </w:rPr>
        <w:t xml:space="preserve"> wybieranych przez Radę Miasta Luboń.</w:t>
      </w:r>
    </w:p>
    <w:p w14:paraId="5338D79D" w14:textId="77777777" w:rsidR="009F34C1" w:rsidRDefault="009F34C1" w:rsidP="009F34C1">
      <w:pPr>
        <w:rPr>
          <w:rFonts w:ascii="Arial" w:hAnsi="Arial"/>
          <w:sz w:val="36"/>
          <w:szCs w:val="36"/>
        </w:rPr>
      </w:pPr>
    </w:p>
    <w:p w14:paraId="46B490C7" w14:textId="1491DEA0" w:rsidR="009F34C1" w:rsidRDefault="009F34C1" w:rsidP="009F34C1">
      <w:pPr>
        <w:rPr>
          <w:rFonts w:ascii="Arial" w:hAnsi="Arial"/>
          <w:sz w:val="36"/>
          <w:szCs w:val="36"/>
        </w:rPr>
      </w:pPr>
      <w:r>
        <w:rPr>
          <w:rFonts w:ascii="Arial" w:hAnsi="Arial"/>
          <w:sz w:val="36"/>
          <w:szCs w:val="36"/>
        </w:rPr>
        <w:t>Do Sądu Rejon</w:t>
      </w:r>
      <w:r w:rsidR="00A72C6B">
        <w:rPr>
          <w:rFonts w:ascii="Arial" w:hAnsi="Arial"/>
          <w:sz w:val="36"/>
          <w:szCs w:val="36"/>
        </w:rPr>
        <w:t xml:space="preserve">owego Poznań – Grunwald i Jeżyce w Poznaniu wybranych ma być 2 ławników </w:t>
      </w:r>
      <w:r>
        <w:rPr>
          <w:rFonts w:ascii="Arial" w:hAnsi="Arial"/>
          <w:sz w:val="36"/>
          <w:szCs w:val="36"/>
        </w:rPr>
        <w:t>do orzekania w spraw</w:t>
      </w:r>
      <w:r>
        <w:rPr>
          <w:rFonts w:ascii="Arial" w:hAnsi="Arial"/>
          <w:sz w:val="36"/>
          <w:szCs w:val="36"/>
        </w:rPr>
        <w:t>a</w:t>
      </w:r>
      <w:r>
        <w:rPr>
          <w:rFonts w:ascii="Arial" w:hAnsi="Arial"/>
          <w:sz w:val="36"/>
          <w:szCs w:val="36"/>
        </w:rPr>
        <w:t xml:space="preserve">ch z zakresu prawa </w:t>
      </w:r>
      <w:r w:rsidR="00A72C6B">
        <w:rPr>
          <w:rFonts w:ascii="Arial" w:hAnsi="Arial"/>
          <w:sz w:val="36"/>
          <w:szCs w:val="36"/>
        </w:rPr>
        <w:t>pracy.</w:t>
      </w:r>
    </w:p>
    <w:p w14:paraId="18230DF8" w14:textId="77777777" w:rsidR="009F34C1" w:rsidRDefault="009F34C1" w:rsidP="009F34C1">
      <w:pPr>
        <w:rPr>
          <w:rFonts w:ascii="Arial" w:hAnsi="Arial"/>
          <w:sz w:val="36"/>
          <w:szCs w:val="36"/>
        </w:rPr>
      </w:pPr>
      <w:r>
        <w:rPr>
          <w:rFonts w:ascii="Arial" w:hAnsi="Arial"/>
          <w:sz w:val="36"/>
          <w:szCs w:val="36"/>
        </w:rPr>
        <w:t xml:space="preserve"> </w:t>
      </w:r>
    </w:p>
    <w:p w14:paraId="13DB973F" w14:textId="77777777" w:rsidR="009F34C1" w:rsidRDefault="009F34C1" w:rsidP="009F34C1">
      <w:pPr>
        <w:rPr>
          <w:rFonts w:ascii="Arial" w:hAnsi="Arial"/>
          <w:sz w:val="36"/>
          <w:szCs w:val="36"/>
        </w:rPr>
      </w:pPr>
      <w:r>
        <w:rPr>
          <w:rFonts w:ascii="Arial" w:hAnsi="Arial"/>
          <w:sz w:val="36"/>
          <w:szCs w:val="36"/>
        </w:rPr>
        <w:t>Kandydatów na ławników mogą zgłaszać prezesi właściwych sądów, stowarzyszenia, organizacje społeczne lub 50 obywateli mających czynne prawo wyborcze.</w:t>
      </w:r>
    </w:p>
    <w:p w14:paraId="6A460F8B" w14:textId="0271136B" w:rsidR="009F34C1" w:rsidRDefault="009F34C1" w:rsidP="009F34C1">
      <w:pPr>
        <w:rPr>
          <w:rFonts w:ascii="Arial" w:hAnsi="Arial"/>
          <w:sz w:val="36"/>
          <w:szCs w:val="36"/>
        </w:rPr>
      </w:pPr>
      <w:r>
        <w:rPr>
          <w:rFonts w:ascii="Arial" w:hAnsi="Arial"/>
          <w:sz w:val="36"/>
          <w:szCs w:val="36"/>
        </w:rPr>
        <w:t>Jednocześnie informujemy, że karty zgłoszeń kandydatów wraz z załącznikami przyjmowan</w:t>
      </w:r>
      <w:r w:rsidR="00550AC3">
        <w:rPr>
          <w:rFonts w:ascii="Arial" w:hAnsi="Arial"/>
          <w:sz w:val="36"/>
          <w:szCs w:val="36"/>
        </w:rPr>
        <w:t>e są do 31 sierpnia 2018</w:t>
      </w:r>
      <w:r>
        <w:rPr>
          <w:rFonts w:ascii="Arial" w:hAnsi="Arial"/>
          <w:sz w:val="36"/>
          <w:szCs w:val="36"/>
        </w:rPr>
        <w:t>r. w Kancelarii Ogólnej Urzędu Miasta Luboń</w:t>
      </w:r>
    </w:p>
    <w:p w14:paraId="1CCF4886" w14:textId="77777777" w:rsidR="009F34C1" w:rsidRDefault="009F34C1" w:rsidP="009F34C1">
      <w:pPr>
        <w:rPr>
          <w:rFonts w:ascii="Arial" w:hAnsi="Arial"/>
          <w:sz w:val="36"/>
          <w:szCs w:val="36"/>
        </w:rPr>
      </w:pPr>
    </w:p>
    <w:p w14:paraId="571E0E47" w14:textId="77777777" w:rsidR="009F34C1" w:rsidRDefault="009F34C1" w:rsidP="009F34C1">
      <w:pPr>
        <w:rPr>
          <w:color w:val="000000"/>
          <w:sz w:val="25"/>
        </w:rPr>
      </w:pPr>
      <w:r>
        <w:rPr>
          <w:color w:val="000000"/>
        </w:rPr>
        <w:t xml:space="preserve"> </w:t>
      </w:r>
      <w:r>
        <w:rPr>
          <w:b/>
          <w:color w:val="000000"/>
          <w:sz w:val="25"/>
        </w:rPr>
        <w:t xml:space="preserve">Kto może być ławnikiem? </w:t>
      </w:r>
      <w:r>
        <w:rPr>
          <w:color w:val="000000"/>
          <w:sz w:val="25"/>
        </w:rPr>
        <w:t xml:space="preserve">Ławnikiem może być wybrany ten, kto: </w:t>
      </w:r>
    </w:p>
    <w:p w14:paraId="37168C37" w14:textId="77777777" w:rsidR="009F34C1" w:rsidRDefault="009F34C1" w:rsidP="009F34C1">
      <w:pPr>
        <w:numPr>
          <w:ilvl w:val="0"/>
          <w:numId w:val="1"/>
        </w:numPr>
        <w:spacing w:after="11"/>
        <w:ind w:left="0" w:firstLine="0"/>
        <w:rPr>
          <w:color w:val="000000"/>
          <w:sz w:val="25"/>
        </w:rPr>
      </w:pPr>
      <w:r>
        <w:rPr>
          <w:color w:val="000000"/>
          <w:sz w:val="25"/>
        </w:rPr>
        <w:t>posiada obywatelstwo polskie i korzysta z pełni praw cywilnych i obywatelskich,</w:t>
      </w:r>
    </w:p>
    <w:p w14:paraId="770DEC53" w14:textId="77777777" w:rsidR="009F34C1" w:rsidRDefault="009F34C1" w:rsidP="009F34C1">
      <w:pPr>
        <w:numPr>
          <w:ilvl w:val="0"/>
          <w:numId w:val="1"/>
        </w:numPr>
        <w:spacing w:after="11"/>
        <w:ind w:left="0" w:firstLine="0"/>
        <w:rPr>
          <w:color w:val="000000"/>
          <w:sz w:val="25"/>
        </w:rPr>
      </w:pPr>
      <w:r>
        <w:rPr>
          <w:color w:val="000000"/>
          <w:sz w:val="25"/>
        </w:rPr>
        <w:t xml:space="preserve">jest nieskazitelnego charakteru, </w:t>
      </w:r>
    </w:p>
    <w:p w14:paraId="6C301DE4" w14:textId="77777777" w:rsidR="009F34C1" w:rsidRDefault="009F34C1" w:rsidP="009F34C1">
      <w:pPr>
        <w:numPr>
          <w:ilvl w:val="0"/>
          <w:numId w:val="1"/>
        </w:numPr>
        <w:spacing w:after="11"/>
        <w:ind w:left="0" w:firstLine="0"/>
        <w:rPr>
          <w:color w:val="000000"/>
          <w:sz w:val="25"/>
        </w:rPr>
      </w:pPr>
      <w:r>
        <w:rPr>
          <w:color w:val="000000"/>
          <w:sz w:val="25"/>
        </w:rPr>
        <w:t xml:space="preserve">ukończył 30 lat, </w:t>
      </w:r>
    </w:p>
    <w:p w14:paraId="0CF7A9D8" w14:textId="77777777" w:rsidR="009F34C1" w:rsidRDefault="009F34C1" w:rsidP="009F34C1">
      <w:pPr>
        <w:numPr>
          <w:ilvl w:val="0"/>
          <w:numId w:val="1"/>
        </w:numPr>
        <w:spacing w:after="11"/>
        <w:ind w:left="0" w:firstLine="0"/>
        <w:rPr>
          <w:color w:val="000000"/>
          <w:sz w:val="25"/>
        </w:rPr>
      </w:pPr>
      <w:r>
        <w:rPr>
          <w:color w:val="000000"/>
          <w:sz w:val="25"/>
        </w:rPr>
        <w:t xml:space="preserve">jest zatrudniony, prowadzi działalność gospodarczą lub mieszka w miejscu </w:t>
      </w:r>
      <w:r>
        <w:rPr>
          <w:color w:val="000000"/>
          <w:sz w:val="25"/>
        </w:rPr>
        <w:tab/>
        <w:t xml:space="preserve">kandydowania co najmniej od roku, </w:t>
      </w:r>
    </w:p>
    <w:p w14:paraId="143B7A3F" w14:textId="77777777" w:rsidR="009F34C1" w:rsidRDefault="009F34C1" w:rsidP="009F34C1">
      <w:pPr>
        <w:numPr>
          <w:ilvl w:val="0"/>
          <w:numId w:val="1"/>
        </w:numPr>
        <w:spacing w:after="11"/>
        <w:ind w:left="0" w:firstLine="0"/>
        <w:rPr>
          <w:color w:val="000000"/>
          <w:sz w:val="25"/>
        </w:rPr>
      </w:pPr>
      <w:r>
        <w:rPr>
          <w:color w:val="000000"/>
          <w:sz w:val="25"/>
        </w:rPr>
        <w:t xml:space="preserve">nie przekroczył 70 lat, </w:t>
      </w:r>
    </w:p>
    <w:p w14:paraId="48CD6DE5" w14:textId="77777777" w:rsidR="009F34C1" w:rsidRDefault="009F34C1" w:rsidP="009F34C1">
      <w:pPr>
        <w:numPr>
          <w:ilvl w:val="0"/>
          <w:numId w:val="1"/>
        </w:numPr>
        <w:spacing w:after="11"/>
        <w:ind w:left="0" w:firstLine="0"/>
        <w:rPr>
          <w:color w:val="000000"/>
          <w:sz w:val="25"/>
        </w:rPr>
      </w:pPr>
      <w:r>
        <w:rPr>
          <w:color w:val="000000"/>
          <w:sz w:val="25"/>
        </w:rPr>
        <w:t xml:space="preserve">jest zdolny, ze względu na stan zdrowia, do pełnienia obowiązków ławnika, </w:t>
      </w:r>
    </w:p>
    <w:p w14:paraId="0BFDCE13" w14:textId="77777777" w:rsidR="009F34C1" w:rsidRDefault="009F34C1" w:rsidP="009F34C1">
      <w:pPr>
        <w:numPr>
          <w:ilvl w:val="0"/>
          <w:numId w:val="1"/>
        </w:numPr>
        <w:spacing w:after="11"/>
        <w:ind w:left="0" w:firstLine="0"/>
        <w:rPr>
          <w:color w:val="000000"/>
          <w:sz w:val="25"/>
        </w:rPr>
      </w:pPr>
      <w:r>
        <w:rPr>
          <w:color w:val="000000"/>
          <w:sz w:val="25"/>
        </w:rPr>
        <w:t xml:space="preserve">posiada co najmniej wykształcenie średnie. </w:t>
      </w:r>
    </w:p>
    <w:p w14:paraId="22D76740" w14:textId="77777777" w:rsidR="009F34C1" w:rsidRDefault="009F34C1" w:rsidP="009F34C1">
      <w:pPr>
        <w:rPr>
          <w:color w:val="000000"/>
          <w:sz w:val="25"/>
        </w:rPr>
      </w:pPr>
      <w:r>
        <w:rPr>
          <w:color w:val="000000"/>
          <w:sz w:val="25"/>
        </w:rPr>
        <w:lastRenderedPageBreak/>
        <w:t xml:space="preserve">Do orzekania w sprawach z zakresu prawa pracy ławnikiem powinna być wybrana osoba wykazująca szczególną znajomość spraw pracowniczych. </w:t>
      </w:r>
      <w:bookmarkStart w:id="0" w:name="_GoBack"/>
      <w:bookmarkEnd w:id="0"/>
    </w:p>
    <w:p w14:paraId="3CA0CC81" w14:textId="77777777" w:rsidR="009F34C1" w:rsidRDefault="009F34C1" w:rsidP="009F34C1">
      <w:pPr>
        <w:rPr>
          <w:color w:val="000000"/>
          <w:sz w:val="25"/>
        </w:rPr>
      </w:pPr>
    </w:p>
    <w:p w14:paraId="7FD24AEC" w14:textId="77777777" w:rsidR="009F34C1" w:rsidRDefault="009F34C1" w:rsidP="009F34C1">
      <w:pPr>
        <w:rPr>
          <w:color w:val="000000"/>
          <w:sz w:val="25"/>
        </w:rPr>
      </w:pPr>
    </w:p>
    <w:p w14:paraId="41914CAD" w14:textId="77777777" w:rsidR="009F34C1" w:rsidRDefault="009F34C1" w:rsidP="009F34C1">
      <w:pPr>
        <w:rPr>
          <w:color w:val="000000"/>
          <w:sz w:val="25"/>
        </w:rPr>
      </w:pPr>
      <w:r>
        <w:rPr>
          <w:color w:val="000000"/>
        </w:rPr>
        <w:t xml:space="preserve"> </w:t>
      </w:r>
      <w:r>
        <w:rPr>
          <w:b/>
          <w:color w:val="000000"/>
          <w:sz w:val="25"/>
        </w:rPr>
        <w:t xml:space="preserve">Kto nie może być ławnikiem? </w:t>
      </w:r>
    </w:p>
    <w:p w14:paraId="7E3755F2" w14:textId="77777777" w:rsidR="009F34C1" w:rsidRDefault="009F34C1" w:rsidP="009F34C1">
      <w:pPr>
        <w:numPr>
          <w:ilvl w:val="0"/>
          <w:numId w:val="2"/>
        </w:numPr>
        <w:spacing w:after="12"/>
        <w:ind w:left="0" w:firstLine="0"/>
        <w:rPr>
          <w:color w:val="000000"/>
          <w:sz w:val="25"/>
        </w:rPr>
      </w:pPr>
      <w:r>
        <w:rPr>
          <w:color w:val="000000"/>
          <w:sz w:val="25"/>
        </w:rPr>
        <w:t>osoba zatrudniona w sądach powszechnych i innych sądach oraz w prokuraturze,</w:t>
      </w:r>
    </w:p>
    <w:p w14:paraId="2BE92199" w14:textId="77777777" w:rsidR="009F34C1" w:rsidRDefault="009F34C1" w:rsidP="009F34C1">
      <w:pPr>
        <w:numPr>
          <w:ilvl w:val="0"/>
          <w:numId w:val="2"/>
        </w:numPr>
        <w:spacing w:after="12"/>
        <w:ind w:left="0" w:firstLine="0"/>
        <w:rPr>
          <w:color w:val="000000"/>
          <w:sz w:val="25"/>
        </w:rPr>
      </w:pPr>
      <w:r>
        <w:rPr>
          <w:color w:val="000000"/>
          <w:sz w:val="25"/>
        </w:rPr>
        <w:t xml:space="preserve">osoba wchodząca w skład organów, od których orzeczenia można żądać skierowania </w:t>
      </w:r>
      <w:r>
        <w:rPr>
          <w:color w:val="000000"/>
          <w:sz w:val="25"/>
        </w:rPr>
        <w:tab/>
        <w:t xml:space="preserve">sprawy na drogę postępowania sądowego, </w:t>
      </w:r>
    </w:p>
    <w:p w14:paraId="29BAA7A6" w14:textId="11EBA4FF" w:rsidR="009F34C1" w:rsidRDefault="009F34C1" w:rsidP="009F34C1">
      <w:pPr>
        <w:numPr>
          <w:ilvl w:val="0"/>
          <w:numId w:val="2"/>
        </w:numPr>
        <w:spacing w:after="12"/>
        <w:ind w:left="0" w:firstLine="0"/>
        <w:rPr>
          <w:color w:val="000000"/>
          <w:sz w:val="25"/>
        </w:rPr>
      </w:pPr>
      <w:r>
        <w:rPr>
          <w:color w:val="000000"/>
          <w:sz w:val="25"/>
        </w:rPr>
        <w:t>funkcjonariusz Policji oraz inna osoba zajmujące st</w:t>
      </w:r>
      <w:r w:rsidR="002E761E">
        <w:rPr>
          <w:color w:val="000000"/>
          <w:sz w:val="25"/>
        </w:rPr>
        <w:t xml:space="preserve">anowiska związane ze ściganiem </w:t>
      </w:r>
      <w:r>
        <w:rPr>
          <w:color w:val="000000"/>
          <w:sz w:val="25"/>
        </w:rPr>
        <w:t xml:space="preserve">przestępstw i wykroczeń, </w:t>
      </w:r>
    </w:p>
    <w:p w14:paraId="78BE6690" w14:textId="77777777" w:rsidR="009F34C1" w:rsidRDefault="009F34C1" w:rsidP="009F34C1">
      <w:pPr>
        <w:numPr>
          <w:ilvl w:val="0"/>
          <w:numId w:val="2"/>
        </w:numPr>
        <w:spacing w:after="12"/>
        <w:ind w:left="0" w:firstLine="0"/>
        <w:rPr>
          <w:color w:val="000000"/>
          <w:sz w:val="23"/>
        </w:rPr>
      </w:pPr>
      <w:r>
        <w:rPr>
          <w:color w:val="000000"/>
          <w:sz w:val="25"/>
        </w:rPr>
        <w:t xml:space="preserve">adwokat i aplikant adwokacki, </w:t>
      </w:r>
    </w:p>
    <w:p w14:paraId="3B71ABA8" w14:textId="77777777" w:rsidR="009F34C1" w:rsidRDefault="009F34C1" w:rsidP="009F34C1">
      <w:pPr>
        <w:numPr>
          <w:ilvl w:val="0"/>
          <w:numId w:val="2"/>
        </w:numPr>
        <w:spacing w:after="12"/>
        <w:ind w:left="0" w:firstLine="0"/>
        <w:rPr>
          <w:color w:val="000000"/>
          <w:sz w:val="25"/>
        </w:rPr>
      </w:pPr>
      <w:r>
        <w:rPr>
          <w:color w:val="000000"/>
          <w:sz w:val="23"/>
        </w:rPr>
        <w:t xml:space="preserve">radca prawny i aplikant radcowski, </w:t>
      </w:r>
    </w:p>
    <w:p w14:paraId="12D323ED" w14:textId="77777777" w:rsidR="009F34C1" w:rsidRDefault="009F34C1" w:rsidP="009F34C1">
      <w:pPr>
        <w:numPr>
          <w:ilvl w:val="0"/>
          <w:numId w:val="2"/>
        </w:numPr>
        <w:spacing w:after="12"/>
        <w:ind w:left="0" w:firstLine="0"/>
        <w:rPr>
          <w:color w:val="000000"/>
          <w:sz w:val="25"/>
        </w:rPr>
      </w:pPr>
      <w:r>
        <w:rPr>
          <w:color w:val="000000"/>
          <w:sz w:val="25"/>
        </w:rPr>
        <w:t xml:space="preserve">duchowny, </w:t>
      </w:r>
    </w:p>
    <w:p w14:paraId="4915F10C" w14:textId="77777777" w:rsidR="009F34C1" w:rsidRDefault="009F34C1" w:rsidP="009F34C1">
      <w:pPr>
        <w:numPr>
          <w:ilvl w:val="0"/>
          <w:numId w:val="2"/>
        </w:numPr>
        <w:spacing w:after="12"/>
        <w:ind w:left="0" w:firstLine="0"/>
        <w:rPr>
          <w:color w:val="000000"/>
          <w:sz w:val="25"/>
        </w:rPr>
      </w:pPr>
      <w:r>
        <w:rPr>
          <w:color w:val="000000"/>
          <w:sz w:val="25"/>
        </w:rPr>
        <w:t xml:space="preserve">żołnierz w czynnej służbie wojskowej, </w:t>
      </w:r>
    </w:p>
    <w:p w14:paraId="69CD2ACE" w14:textId="77777777" w:rsidR="009F34C1" w:rsidRDefault="009F34C1" w:rsidP="009F34C1">
      <w:pPr>
        <w:numPr>
          <w:ilvl w:val="0"/>
          <w:numId w:val="2"/>
        </w:numPr>
        <w:spacing w:after="12"/>
        <w:ind w:left="0" w:firstLine="0"/>
        <w:rPr>
          <w:color w:val="000000"/>
          <w:sz w:val="25"/>
        </w:rPr>
      </w:pPr>
      <w:r>
        <w:rPr>
          <w:color w:val="000000"/>
          <w:sz w:val="25"/>
        </w:rPr>
        <w:t xml:space="preserve">funkcjonariusz Służby Więziennej, </w:t>
      </w:r>
    </w:p>
    <w:p w14:paraId="7EF00BAE" w14:textId="77777777" w:rsidR="009F34C1" w:rsidRDefault="009F34C1" w:rsidP="009F34C1">
      <w:pPr>
        <w:numPr>
          <w:ilvl w:val="0"/>
          <w:numId w:val="2"/>
        </w:numPr>
        <w:spacing w:after="12"/>
        <w:ind w:left="0" w:firstLine="0"/>
        <w:rPr>
          <w:color w:val="000000"/>
          <w:sz w:val="25"/>
        </w:rPr>
      </w:pPr>
      <w:r>
        <w:rPr>
          <w:color w:val="000000"/>
          <w:sz w:val="25"/>
        </w:rPr>
        <w:t xml:space="preserve">radni gminy, powiatu i województwa. </w:t>
      </w:r>
    </w:p>
    <w:p w14:paraId="59FD1329" w14:textId="77777777" w:rsidR="009F34C1" w:rsidRDefault="009F34C1" w:rsidP="009F34C1">
      <w:pPr>
        <w:rPr>
          <w:color w:val="000000"/>
          <w:sz w:val="25"/>
        </w:rPr>
      </w:pPr>
      <w:r>
        <w:rPr>
          <w:color w:val="000000"/>
          <w:sz w:val="25"/>
        </w:rPr>
        <w:t xml:space="preserve">Nie można być ławnikiem jednocześnie w więcej niż jednym sądzie. </w:t>
      </w:r>
    </w:p>
    <w:p w14:paraId="5CD4FCF6" w14:textId="77777777" w:rsidR="009F34C1" w:rsidRDefault="009F34C1" w:rsidP="009F34C1">
      <w:pPr>
        <w:rPr>
          <w:color w:val="000000"/>
          <w:sz w:val="25"/>
        </w:rPr>
      </w:pPr>
    </w:p>
    <w:p w14:paraId="71F946E0" w14:textId="77777777" w:rsidR="009F34C1" w:rsidRDefault="009F34C1" w:rsidP="009F34C1">
      <w:pPr>
        <w:rPr>
          <w:color w:val="000000"/>
          <w:sz w:val="25"/>
        </w:rPr>
      </w:pPr>
    </w:p>
    <w:p w14:paraId="0320F398" w14:textId="77777777" w:rsidR="009F34C1" w:rsidRDefault="009F34C1" w:rsidP="009F34C1">
      <w:pPr>
        <w:rPr>
          <w:color w:val="000000"/>
          <w:sz w:val="23"/>
        </w:rPr>
      </w:pPr>
      <w:r>
        <w:rPr>
          <w:b/>
          <w:color w:val="000000"/>
          <w:sz w:val="25"/>
        </w:rPr>
        <w:t xml:space="preserve">Jakie dokumenty należy dołączyć do zgłoszenia kandydata na ławnika? </w:t>
      </w:r>
      <w:r>
        <w:rPr>
          <w:color w:val="000000"/>
          <w:sz w:val="25"/>
        </w:rPr>
        <w:t xml:space="preserve">Do zgłoszenia kandydata na ławnika dokonanego na karcie zgłoszenia dołącza się następujące dokumenty: </w:t>
      </w:r>
    </w:p>
    <w:p w14:paraId="222DB735" w14:textId="77777777" w:rsidR="009F34C1" w:rsidRDefault="009F34C1" w:rsidP="00550AC3">
      <w:pPr>
        <w:numPr>
          <w:ilvl w:val="0"/>
          <w:numId w:val="3"/>
        </w:numPr>
        <w:spacing w:after="16"/>
        <w:ind w:left="0" w:firstLine="0"/>
        <w:rPr>
          <w:color w:val="000000"/>
          <w:sz w:val="25"/>
        </w:rPr>
      </w:pPr>
      <w:r>
        <w:rPr>
          <w:color w:val="000000"/>
          <w:sz w:val="23"/>
        </w:rPr>
        <w:t>informację z Krajowego Rejestru Karnego dotyczącą zgłaszanej osoby,</w:t>
      </w:r>
    </w:p>
    <w:p w14:paraId="4EDA2D71" w14:textId="77777777" w:rsidR="009F34C1" w:rsidRDefault="009F34C1" w:rsidP="00550AC3">
      <w:pPr>
        <w:numPr>
          <w:ilvl w:val="0"/>
          <w:numId w:val="3"/>
        </w:numPr>
        <w:spacing w:after="16"/>
        <w:ind w:left="0" w:firstLine="0"/>
        <w:rPr>
          <w:color w:val="000000"/>
          <w:sz w:val="25"/>
        </w:rPr>
      </w:pPr>
      <w:r>
        <w:rPr>
          <w:color w:val="000000"/>
          <w:sz w:val="25"/>
        </w:rPr>
        <w:t xml:space="preserve">oświadczenie kandydata, że nie jest prowadzone przeciwko niemu postępowanie o </w:t>
      </w:r>
      <w:r>
        <w:rPr>
          <w:color w:val="000000"/>
          <w:sz w:val="25"/>
        </w:rPr>
        <w:tab/>
        <w:t xml:space="preserve">przestępstwo ścigane z oskarżenia publicznego lub przestępstwo skarbowe, </w:t>
      </w:r>
    </w:p>
    <w:p w14:paraId="230E39F2" w14:textId="42A54DFA" w:rsidR="009F34C1" w:rsidRDefault="009F34C1" w:rsidP="00550AC3">
      <w:pPr>
        <w:numPr>
          <w:ilvl w:val="0"/>
          <w:numId w:val="3"/>
        </w:numPr>
        <w:spacing w:after="16"/>
        <w:ind w:left="0" w:firstLine="0"/>
        <w:rPr>
          <w:color w:val="000000"/>
          <w:sz w:val="25"/>
        </w:rPr>
      </w:pPr>
      <w:r>
        <w:rPr>
          <w:color w:val="000000"/>
          <w:sz w:val="25"/>
        </w:rPr>
        <w:t>oświadczenie kandydata, że nie jest lub nie był po</w:t>
      </w:r>
      <w:r w:rsidR="00550AC3">
        <w:rPr>
          <w:color w:val="000000"/>
          <w:sz w:val="25"/>
        </w:rPr>
        <w:t xml:space="preserve">zbawiony władzy rodzicielskiej, a </w:t>
      </w:r>
      <w:r>
        <w:rPr>
          <w:color w:val="000000"/>
          <w:sz w:val="25"/>
        </w:rPr>
        <w:t xml:space="preserve">także, że władza rodzicielska nie została mu ograniczona ani zawieszona, </w:t>
      </w:r>
    </w:p>
    <w:p w14:paraId="73D1AFFC" w14:textId="45C028A7" w:rsidR="009F34C1" w:rsidRDefault="009F34C1" w:rsidP="00550AC3">
      <w:pPr>
        <w:numPr>
          <w:ilvl w:val="0"/>
          <w:numId w:val="3"/>
        </w:numPr>
        <w:spacing w:after="16"/>
        <w:ind w:left="0" w:firstLine="0"/>
        <w:rPr>
          <w:color w:val="000000"/>
          <w:sz w:val="25"/>
        </w:rPr>
      </w:pPr>
      <w:r>
        <w:rPr>
          <w:color w:val="000000"/>
          <w:sz w:val="25"/>
        </w:rPr>
        <w:t xml:space="preserve">zaświadczenie lekarskie o stanie zdrowia, wystawione przez lekarza podstawowej opieki </w:t>
      </w:r>
      <w:r>
        <w:rPr>
          <w:color w:val="000000"/>
          <w:sz w:val="25"/>
        </w:rPr>
        <w:tab/>
        <w:t>zdrowotnej w rozumieniu przepisów o świadczeniach o</w:t>
      </w:r>
      <w:r w:rsidR="002E761E">
        <w:rPr>
          <w:color w:val="000000"/>
          <w:sz w:val="25"/>
        </w:rPr>
        <w:t xml:space="preserve">pieki zdrowotnej finansowanych </w:t>
      </w:r>
      <w:r>
        <w:rPr>
          <w:color w:val="000000"/>
          <w:sz w:val="25"/>
        </w:rPr>
        <w:t>ze środków publicznych, stwierdzające brak przeciw</w:t>
      </w:r>
      <w:r w:rsidR="00550AC3">
        <w:rPr>
          <w:color w:val="000000"/>
          <w:sz w:val="25"/>
        </w:rPr>
        <w:t xml:space="preserve">wskazań do wykonywania funkcji </w:t>
      </w:r>
      <w:r>
        <w:rPr>
          <w:color w:val="000000"/>
          <w:sz w:val="25"/>
        </w:rPr>
        <w:t xml:space="preserve">ławnika, </w:t>
      </w:r>
    </w:p>
    <w:p w14:paraId="4E5943CB" w14:textId="77777777" w:rsidR="009F34C1" w:rsidRDefault="009F34C1" w:rsidP="00550AC3">
      <w:pPr>
        <w:numPr>
          <w:ilvl w:val="0"/>
          <w:numId w:val="3"/>
        </w:numPr>
        <w:spacing w:after="16"/>
        <w:ind w:left="0" w:firstLine="0"/>
        <w:rPr>
          <w:color w:val="000000"/>
          <w:sz w:val="25"/>
        </w:rPr>
      </w:pPr>
      <w:r>
        <w:rPr>
          <w:color w:val="000000"/>
          <w:sz w:val="25"/>
        </w:rPr>
        <w:t xml:space="preserve">dwa zdjęcia zgodne z wymogami stosowanymi przy składaniu wniosku o wydanie </w:t>
      </w:r>
      <w:r>
        <w:rPr>
          <w:color w:val="000000"/>
          <w:sz w:val="25"/>
        </w:rPr>
        <w:tab/>
        <w:t xml:space="preserve">dowodu osobistego. </w:t>
      </w:r>
    </w:p>
    <w:p w14:paraId="518A964A" w14:textId="77777777" w:rsidR="009F34C1" w:rsidRDefault="009F34C1" w:rsidP="009F34C1">
      <w:pPr>
        <w:rPr>
          <w:color w:val="000000"/>
          <w:sz w:val="25"/>
        </w:rPr>
      </w:pPr>
    </w:p>
    <w:p w14:paraId="4CB48307" w14:textId="77777777" w:rsidR="009F34C1" w:rsidRDefault="009F34C1" w:rsidP="009F34C1">
      <w:pPr>
        <w:rPr>
          <w:rFonts w:ascii="Arial" w:hAnsi="Arial"/>
          <w:sz w:val="36"/>
          <w:szCs w:val="36"/>
        </w:rPr>
      </w:pPr>
      <w:r>
        <w:rPr>
          <w:color w:val="000000"/>
          <w:sz w:val="25"/>
        </w:rPr>
        <w:t xml:space="preserve">Do zgłoszenia kandydata na ławnika dokonanego na karcie zgłoszenia przez stowarzyszenie, inną organizację społeczną lub zawodową, zarejestrowaną na podstawie przepisów prawa, dołącza się również aktualny odpis z Krajowego Rejestru Sądowego albo odpis lub zaświadczenie potwierdzające wpis do innego właściwego rejestru lub ewidencji dotyczące tej organizacji. Do zgłoszenia kandydata na ławnika dokonanego na karcie zgłoszenia przez obywateli dołącza się również listę osób zawierającą imię (imiona), nazwisko, numer ewidencyjny PESEL, miejsce stałego zamieszkania i własnoręczny podpis każdej z pięćdziesięciu osób zgłaszających kandydata. Zgodnie z art.162 § l ustawy z 27 lipca 2001r. prawo o ustroju sądów powszechnych (Dz. U. z2001r. Nr 98, póz. 1070) kandydata na ławnika może zgłosić co najmniej 50 obywateli mających czynne prawo wyborcze, zamieszkałych stale na terenie gminy. </w:t>
      </w:r>
    </w:p>
    <w:p w14:paraId="44137DD5" w14:textId="77777777" w:rsidR="009F34C1" w:rsidRDefault="009F34C1" w:rsidP="009F34C1">
      <w:pPr>
        <w:rPr>
          <w:rFonts w:ascii="Arial" w:hAnsi="Arial"/>
          <w:sz w:val="36"/>
          <w:szCs w:val="36"/>
        </w:rPr>
      </w:pPr>
    </w:p>
    <w:p w14:paraId="3ACF2980" w14:textId="27ED7D9B" w:rsidR="009F34C1" w:rsidRDefault="009F34C1" w:rsidP="009F34C1">
      <w:pPr>
        <w:rPr>
          <w:rFonts w:ascii="Arial" w:hAnsi="Arial"/>
          <w:sz w:val="36"/>
          <w:szCs w:val="36"/>
        </w:rPr>
      </w:pPr>
      <w:r>
        <w:rPr>
          <w:rFonts w:ascii="Arial" w:hAnsi="Arial"/>
          <w:sz w:val="36"/>
          <w:szCs w:val="36"/>
        </w:rPr>
        <w:lastRenderedPageBreak/>
        <w:t xml:space="preserve">Wybór </w:t>
      </w:r>
      <w:r w:rsidR="00550AC3">
        <w:rPr>
          <w:rFonts w:ascii="Arial" w:hAnsi="Arial"/>
          <w:sz w:val="36"/>
          <w:szCs w:val="36"/>
        </w:rPr>
        <w:t xml:space="preserve">uzupełniający </w:t>
      </w:r>
      <w:r>
        <w:rPr>
          <w:rFonts w:ascii="Arial" w:hAnsi="Arial"/>
          <w:sz w:val="36"/>
          <w:szCs w:val="36"/>
        </w:rPr>
        <w:t>ławników na kadencję 2015-20</w:t>
      </w:r>
      <w:r w:rsidR="00550AC3">
        <w:rPr>
          <w:rFonts w:ascii="Arial" w:hAnsi="Arial"/>
          <w:sz w:val="36"/>
          <w:szCs w:val="36"/>
        </w:rPr>
        <w:t>18 nastąpi najpóźniej do dnia 30 września 2018</w:t>
      </w:r>
      <w:r>
        <w:rPr>
          <w:rFonts w:ascii="Arial" w:hAnsi="Arial"/>
          <w:sz w:val="36"/>
          <w:szCs w:val="36"/>
        </w:rPr>
        <w:t>r</w:t>
      </w:r>
    </w:p>
    <w:p w14:paraId="3877D42A" w14:textId="77777777" w:rsidR="009F34C1" w:rsidRDefault="009F34C1" w:rsidP="009F34C1">
      <w:pPr>
        <w:rPr>
          <w:rFonts w:ascii="Arial" w:hAnsi="Arial"/>
          <w:sz w:val="36"/>
          <w:szCs w:val="36"/>
        </w:rPr>
      </w:pPr>
    </w:p>
    <w:p w14:paraId="673A4515" w14:textId="77777777" w:rsidR="0044521F" w:rsidRDefault="0044521F"/>
    <w:sectPr w:rsidR="00445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89"/>
    <w:rsid w:val="002E761E"/>
    <w:rsid w:val="0044521F"/>
    <w:rsid w:val="00550AC3"/>
    <w:rsid w:val="00786189"/>
    <w:rsid w:val="009F34C1"/>
    <w:rsid w:val="00A72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1FBB"/>
  <w15:chartTrackingRefBased/>
  <w15:docId w15:val="{D2F4A837-5798-4EFA-B044-0512E262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34C1"/>
    <w:pPr>
      <w:widowControl w:val="0"/>
      <w:suppressAutoHyphens/>
      <w:spacing w:after="0" w:line="240" w:lineRule="auto"/>
    </w:pPr>
    <w:rPr>
      <w:rFonts w:ascii="Times New Roman" w:eastAsia="Andale Sans UI"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563</Words>
  <Characters>3381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Kędziora</dc:creator>
  <cp:keywords/>
  <dc:description/>
  <cp:lastModifiedBy>Dominika Kędziora</cp:lastModifiedBy>
  <cp:revision>4</cp:revision>
  <dcterms:created xsi:type="dcterms:W3CDTF">2018-07-20T09:03:00Z</dcterms:created>
  <dcterms:modified xsi:type="dcterms:W3CDTF">2018-07-20T09:40:00Z</dcterms:modified>
</cp:coreProperties>
</file>